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7B4C74" w14:textId="77777777" w:rsidR="00161C2B" w:rsidRDefault="00161C2B" w:rsidP="00647A2F">
      <w:pPr>
        <w:pStyle w:val="Zkladntext"/>
        <w:spacing w:before="5"/>
        <w:jc w:val="both"/>
        <w:rPr>
          <w:sz w:val="3"/>
        </w:rPr>
      </w:pPr>
    </w:p>
    <w:p w14:paraId="7D30C4F2" w14:textId="77777777" w:rsidR="00161C2B" w:rsidRDefault="00056C1E" w:rsidP="00647A2F">
      <w:pPr>
        <w:pStyle w:val="Zkladntext"/>
        <w:ind w:left="2374"/>
        <w:jc w:val="both"/>
        <w:rPr>
          <w:sz w:val="20"/>
        </w:rPr>
      </w:pPr>
      <w:r>
        <w:rPr>
          <w:noProof/>
          <w:sz w:val="20"/>
          <w:lang w:eastAsia="cs-CZ" w:bidi="ar-SA"/>
        </w:rPr>
        <w:drawing>
          <wp:inline distT="0" distB="0" distL="0" distR="0" wp14:anchorId="66928605" wp14:editId="1E2C6002">
            <wp:extent cx="3079409" cy="116205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9409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006AB4" w14:textId="77777777" w:rsidR="00161C2B" w:rsidRDefault="00161C2B" w:rsidP="00647A2F">
      <w:pPr>
        <w:pStyle w:val="Zkladntext"/>
        <w:jc w:val="both"/>
        <w:rPr>
          <w:sz w:val="20"/>
        </w:rPr>
      </w:pPr>
    </w:p>
    <w:p w14:paraId="520A5FB8" w14:textId="77777777" w:rsidR="00161C2B" w:rsidRDefault="00161C2B" w:rsidP="00647A2F">
      <w:pPr>
        <w:pStyle w:val="Zkladntext"/>
        <w:jc w:val="both"/>
        <w:rPr>
          <w:sz w:val="20"/>
        </w:rPr>
      </w:pPr>
    </w:p>
    <w:p w14:paraId="7306F7FF" w14:textId="77777777" w:rsidR="00161C2B" w:rsidRDefault="00161C2B" w:rsidP="00647A2F">
      <w:pPr>
        <w:pStyle w:val="Zkladntext"/>
        <w:jc w:val="both"/>
        <w:rPr>
          <w:sz w:val="20"/>
        </w:rPr>
      </w:pPr>
    </w:p>
    <w:p w14:paraId="6D64EFE3" w14:textId="77777777" w:rsidR="00161C2B" w:rsidRDefault="00161C2B" w:rsidP="00647A2F">
      <w:pPr>
        <w:pStyle w:val="Zkladntext"/>
        <w:jc w:val="both"/>
        <w:rPr>
          <w:sz w:val="20"/>
        </w:rPr>
      </w:pPr>
    </w:p>
    <w:p w14:paraId="5453DA37" w14:textId="77777777" w:rsidR="00161C2B" w:rsidRDefault="00161C2B" w:rsidP="00647A2F">
      <w:pPr>
        <w:pStyle w:val="Zkladntext"/>
        <w:jc w:val="both"/>
        <w:rPr>
          <w:sz w:val="20"/>
        </w:rPr>
      </w:pPr>
    </w:p>
    <w:p w14:paraId="2FE74879" w14:textId="77777777" w:rsidR="00161C2B" w:rsidRDefault="00161C2B" w:rsidP="00647A2F">
      <w:pPr>
        <w:pStyle w:val="Zkladntext"/>
        <w:jc w:val="both"/>
        <w:rPr>
          <w:sz w:val="20"/>
        </w:rPr>
      </w:pPr>
    </w:p>
    <w:p w14:paraId="56D4114A" w14:textId="77777777" w:rsidR="00161C2B" w:rsidRDefault="00161C2B" w:rsidP="00647A2F">
      <w:pPr>
        <w:pStyle w:val="Zkladntext"/>
        <w:spacing w:before="8"/>
        <w:jc w:val="both"/>
        <w:rPr>
          <w:sz w:val="21"/>
        </w:rPr>
      </w:pPr>
    </w:p>
    <w:p w14:paraId="20A81ABA" w14:textId="77777777" w:rsidR="00161C2B" w:rsidRPr="00F14E65" w:rsidRDefault="00056C1E" w:rsidP="00647A2F">
      <w:pPr>
        <w:spacing w:before="92"/>
        <w:ind w:left="140" w:right="650"/>
        <w:jc w:val="both"/>
        <w:rPr>
          <w:rFonts w:ascii="Arial" w:hAnsi="Arial" w:cs="Arial"/>
          <w:b/>
          <w:sz w:val="24"/>
        </w:rPr>
      </w:pPr>
      <w:r w:rsidRPr="00F14E65">
        <w:rPr>
          <w:rFonts w:ascii="Arial" w:hAnsi="Arial" w:cs="Arial"/>
          <w:b/>
          <w:sz w:val="24"/>
        </w:rPr>
        <w:t>PRÁVNĚ NEZÁVAZNÁ PRACOVNÍ DEFINICE ANTICIKANISMU / DISKRIMINACE ROMŮ*</w:t>
      </w:r>
    </w:p>
    <w:p w14:paraId="6C16190D" w14:textId="77777777" w:rsidR="00161C2B" w:rsidRDefault="00056C1E" w:rsidP="00647A2F">
      <w:pPr>
        <w:pStyle w:val="Zkladntext"/>
        <w:spacing w:line="255" w:lineRule="exact"/>
        <w:ind w:left="140"/>
        <w:jc w:val="both"/>
      </w:pPr>
      <w:r>
        <w:t>8. října 2020</w:t>
      </w:r>
    </w:p>
    <w:p w14:paraId="26CBEC81" w14:textId="77777777" w:rsidR="00161C2B" w:rsidRDefault="00161C2B" w:rsidP="00647A2F">
      <w:pPr>
        <w:pStyle w:val="Zkladntext"/>
        <w:jc w:val="both"/>
        <w:rPr>
          <w:sz w:val="26"/>
        </w:rPr>
      </w:pPr>
    </w:p>
    <w:p w14:paraId="783CD02D" w14:textId="77777777" w:rsidR="00161C2B" w:rsidRDefault="00161C2B" w:rsidP="00647A2F">
      <w:pPr>
        <w:pStyle w:val="Zkladntext"/>
        <w:spacing w:before="5"/>
        <w:jc w:val="both"/>
        <w:rPr>
          <w:sz w:val="20"/>
        </w:rPr>
      </w:pPr>
    </w:p>
    <w:p w14:paraId="500B3AD8" w14:textId="2104FEAC" w:rsidR="00161C2B" w:rsidRDefault="00056C1E" w:rsidP="00647A2F">
      <w:pPr>
        <w:pStyle w:val="Zkladntext"/>
        <w:spacing w:line="268" w:lineRule="auto"/>
        <w:ind w:left="140" w:right="165"/>
        <w:jc w:val="both"/>
      </w:pPr>
      <w:r>
        <w:t>Mezinárodní aliance pro připomínání holocaustu (IHRA) se znepokojením konstatuje, že opomí</w:t>
      </w:r>
      <w:r w:rsidR="00F14E65">
        <w:t>je</w:t>
      </w:r>
      <w:r>
        <w:t>ní genocidy Romů přispělo k posílení předsudků a diskriminace, se kterými se i dnes potýká mnoho romských komunit, a přijímá</w:t>
      </w:r>
      <w:r w:rsidR="00F14E65">
        <w:t>, že je její</w:t>
      </w:r>
      <w:r>
        <w:t xml:space="preserve"> odpovědnost proti takovýmto formám rasismu a diskriminace bojovat (viz články 4 a 7 Ministerského prohlášení IHRA 2020, článek 3 Stockholmského prohlášení). Na tomto základě přijímá následující pracovní definici </w:t>
      </w:r>
      <w:proofErr w:type="spellStart"/>
      <w:r>
        <w:t>anticikanismu</w:t>
      </w:r>
      <w:proofErr w:type="spellEnd"/>
      <w:r>
        <w:t xml:space="preserve"> / diskriminace Romů.</w:t>
      </w:r>
    </w:p>
    <w:p w14:paraId="59DD4AE8" w14:textId="77777777" w:rsidR="00161C2B" w:rsidRDefault="00161C2B" w:rsidP="00647A2F">
      <w:pPr>
        <w:pStyle w:val="Zkladntext"/>
        <w:spacing w:before="10"/>
        <w:jc w:val="both"/>
        <w:rPr>
          <w:sz w:val="27"/>
        </w:rPr>
      </w:pPr>
    </w:p>
    <w:p w14:paraId="7FF25016" w14:textId="77777777" w:rsidR="0074080C" w:rsidRDefault="0074080C" w:rsidP="0074080C">
      <w:pPr>
        <w:pStyle w:val="Zkladntext"/>
        <w:spacing w:before="7" w:line="276" w:lineRule="auto"/>
        <w:ind w:left="142"/>
        <w:jc w:val="both"/>
      </w:pPr>
      <w:proofErr w:type="spellStart"/>
      <w:r>
        <w:t>Anticikanismus</w:t>
      </w:r>
      <w:proofErr w:type="spellEnd"/>
      <w:r>
        <w:t>, tzn. diskriminace Romů, je vyjadřování a jednání jedinců, strategie a praxe institucí, které vedou k marginalizaci či vylučování Romů, devalvování romské kultury a životního stylu, fyzickému násilí či projevům nenávisti namířených proti Romům i dalším jedincům a skupinám, které jsou považovány za „Cikány“. Z tohoto důvodu jsou stigmatizováni, či proto byli za dob nacismu nebo i dnes cílem perzekuce.</w:t>
      </w:r>
    </w:p>
    <w:p w14:paraId="32948707" w14:textId="1D284B09" w:rsidR="00161C2B" w:rsidRDefault="0074080C" w:rsidP="0074080C">
      <w:pPr>
        <w:pStyle w:val="Zkladntext"/>
        <w:spacing w:before="7" w:line="276" w:lineRule="auto"/>
        <w:ind w:left="142"/>
        <w:jc w:val="both"/>
      </w:pPr>
      <w:r>
        <w:t>Z důvodu této diskriminace se následně s Romy zachází jako s údajně cizí, odlišnou skupinou a jsou spojováni s celou řadou urážlivých stereotypů a zkreslených představ, které samy o sobě představují specifickou formu rasismu</w:t>
      </w:r>
    </w:p>
    <w:p w14:paraId="2DD36AEB" w14:textId="77777777" w:rsidR="0074080C" w:rsidRDefault="0074080C" w:rsidP="0074080C">
      <w:pPr>
        <w:pStyle w:val="Zkladntext"/>
        <w:spacing w:before="7" w:line="276" w:lineRule="auto"/>
        <w:jc w:val="both"/>
        <w:rPr>
          <w:sz w:val="27"/>
        </w:rPr>
      </w:pPr>
    </w:p>
    <w:p w14:paraId="070CE8C5" w14:textId="77777777" w:rsidR="00161C2B" w:rsidRDefault="00056C1E" w:rsidP="00647A2F">
      <w:pPr>
        <w:pStyle w:val="Zkladntext"/>
        <w:ind w:left="140"/>
        <w:jc w:val="both"/>
      </w:pPr>
      <w:r>
        <w:t>Mezinárodní aliance pro připomínání holocaustu proto pro svou práci uznává následující:</w:t>
      </w:r>
    </w:p>
    <w:p w14:paraId="154A7D26" w14:textId="77777777" w:rsidR="00161C2B" w:rsidRDefault="00161C2B" w:rsidP="00647A2F">
      <w:pPr>
        <w:pStyle w:val="Zkladntext"/>
        <w:spacing w:before="4"/>
        <w:jc w:val="both"/>
        <w:rPr>
          <w:sz w:val="30"/>
        </w:rPr>
      </w:pPr>
    </w:p>
    <w:p w14:paraId="65AFDB64" w14:textId="77777777" w:rsidR="00161C2B" w:rsidRDefault="00056C1E" w:rsidP="00647A2F">
      <w:pPr>
        <w:pStyle w:val="Zkladntext"/>
        <w:spacing w:line="268" w:lineRule="auto"/>
        <w:ind w:left="140" w:right="286"/>
        <w:jc w:val="both"/>
      </w:pPr>
      <w:proofErr w:type="spellStart"/>
      <w:r>
        <w:t>Anticikanismus</w:t>
      </w:r>
      <w:proofErr w:type="spellEnd"/>
      <w:r>
        <w:t xml:space="preserve"> a diskriminace Romů existují po staletí. Jednalo se o základní prvek politiky pronásledování a vyhlazování Romů prosazované nacistickým Německem a jeho fašistickými a extrémně nacionalistickými spojenci a kolaboranty, kteří se na těchto zločinech podíleli.</w:t>
      </w:r>
    </w:p>
    <w:p w14:paraId="26807B33" w14:textId="77777777" w:rsidR="00161C2B" w:rsidRDefault="00161C2B" w:rsidP="00647A2F">
      <w:pPr>
        <w:pStyle w:val="Zkladntext"/>
        <w:spacing w:before="3"/>
        <w:jc w:val="both"/>
        <w:rPr>
          <w:sz w:val="27"/>
        </w:rPr>
      </w:pPr>
    </w:p>
    <w:p w14:paraId="5247567D" w14:textId="6641157A" w:rsidR="00161C2B" w:rsidRDefault="00056C1E" w:rsidP="00647A2F">
      <w:pPr>
        <w:pStyle w:val="Zkladntext"/>
        <w:spacing w:before="1" w:line="268" w:lineRule="auto"/>
        <w:ind w:left="140"/>
        <w:jc w:val="both"/>
        <w:rPr>
          <w:sz w:val="20"/>
        </w:rPr>
      </w:pPr>
      <w:proofErr w:type="spellStart"/>
      <w:r>
        <w:t>Anticikanismus</w:t>
      </w:r>
      <w:proofErr w:type="spellEnd"/>
      <w:r>
        <w:t xml:space="preserve"> a diskriminace Romů s obdobím nacismu nezačaly ani neskončily </w:t>
      </w:r>
      <w:r w:rsidR="00F14E65">
        <w:t>–</w:t>
      </w:r>
      <w:r>
        <w:t xml:space="preserve"> </w:t>
      </w:r>
      <w:r w:rsidR="00F14E65">
        <w:t>dodnes</w:t>
      </w:r>
      <w:r>
        <w:t xml:space="preserve"> </w:t>
      </w:r>
      <w:r w:rsidR="00647A2F">
        <w:t xml:space="preserve">se </w:t>
      </w:r>
      <w:r>
        <w:t xml:space="preserve">jedná o klíčový prvek zločinů proti Romům. Navzdory důležité </w:t>
      </w:r>
      <w:r w:rsidR="00F14E65">
        <w:t>práci</w:t>
      </w:r>
      <w:r>
        <w:t>, kterou konají Organizace spojených národů, Evropská unie, Rada Evropy,</w:t>
      </w:r>
      <w:r w:rsidR="00F14E65">
        <w:t xml:space="preserve"> Organizace pro bezpečnost</w:t>
      </w:r>
      <w:r w:rsidR="00F14E65" w:rsidRPr="00F14E65">
        <w:t xml:space="preserve"> </w:t>
      </w:r>
    </w:p>
    <w:p w14:paraId="15CDE90E" w14:textId="77777777" w:rsidR="00161C2B" w:rsidRDefault="0074080C" w:rsidP="00647A2F">
      <w:pPr>
        <w:pStyle w:val="Zkladntext"/>
        <w:spacing w:before="10"/>
        <w:jc w:val="both"/>
        <w:rPr>
          <w:sz w:val="15"/>
        </w:rPr>
      </w:pPr>
      <w:r>
        <w:pict w14:anchorId="276BFFAD">
          <v:shape id="_x0000_s1026" style="position:absolute;left:0;text-align:left;margin-left:70.55pt;margin-top:11.5pt;width:454.45pt;height:.1pt;z-index:-251658752;mso-wrap-distance-left:0;mso-wrap-distance-right:0;mso-position-horizontal-relative:page" coordorigin="1411,230" coordsize="9089,0" path="m1411,230r9089,e" filled="f">
            <v:path arrowok="t"/>
            <w10:wrap type="topAndBottom" anchorx="page"/>
          </v:shape>
        </w:pict>
      </w:r>
    </w:p>
    <w:p w14:paraId="2030084F" w14:textId="3923EEB1" w:rsidR="00161C2B" w:rsidRPr="00F14E65" w:rsidRDefault="00056C1E" w:rsidP="00647A2F">
      <w:pPr>
        <w:pStyle w:val="Odstavecseseznamem"/>
        <w:numPr>
          <w:ilvl w:val="0"/>
          <w:numId w:val="2"/>
        </w:numPr>
        <w:tabs>
          <w:tab w:val="left" w:pos="286"/>
        </w:tabs>
        <w:spacing w:before="0" w:line="235" w:lineRule="exact"/>
        <w:ind w:left="140" w:hanging="146"/>
        <w:jc w:val="both"/>
        <w:rPr>
          <w:sz w:val="21"/>
        </w:rPr>
      </w:pPr>
      <w:r w:rsidRPr="00F14E65">
        <w:rPr>
          <w:sz w:val="21"/>
        </w:rPr>
        <w:t>Doporučuje se využívat verzi pojmu, která je běžná v daném státě - např. Kanada a Spojené státy používají pojem</w:t>
      </w:r>
      <w:r w:rsidR="00F14E65" w:rsidRPr="00F14E65">
        <w:rPr>
          <w:sz w:val="21"/>
        </w:rPr>
        <w:t xml:space="preserve"> </w:t>
      </w:r>
      <w:r w:rsidRPr="00F14E65">
        <w:rPr>
          <w:sz w:val="21"/>
        </w:rPr>
        <w:t>rasismus namířený proti Romům.</w:t>
      </w:r>
    </w:p>
    <w:p w14:paraId="6DBB86DA" w14:textId="2955ACAB" w:rsidR="00161C2B" w:rsidRDefault="00056C1E" w:rsidP="00647A2F">
      <w:pPr>
        <w:spacing w:line="235" w:lineRule="auto"/>
        <w:ind w:left="140" w:right="190"/>
        <w:jc w:val="both"/>
        <w:rPr>
          <w:sz w:val="21"/>
        </w:rPr>
      </w:pPr>
      <w:r>
        <w:rPr>
          <w:sz w:val="21"/>
        </w:rPr>
        <w:t xml:space="preserve">** Slovo „Romové“ se zde používá jako zastřešující pojem, který zahrnuje různé příbuzné skupiny, ať už usedlé či nikoliv, jako jsou například Romové, </w:t>
      </w:r>
      <w:proofErr w:type="spellStart"/>
      <w:r>
        <w:rPr>
          <w:sz w:val="21"/>
        </w:rPr>
        <w:t>Travelleři</w:t>
      </w:r>
      <w:proofErr w:type="spellEnd"/>
      <w:r>
        <w:rPr>
          <w:sz w:val="21"/>
        </w:rPr>
        <w:t xml:space="preserve">, </w:t>
      </w:r>
      <w:proofErr w:type="spellStart"/>
      <w:r>
        <w:rPr>
          <w:sz w:val="21"/>
        </w:rPr>
        <w:t>Gens</w:t>
      </w:r>
      <w:proofErr w:type="spellEnd"/>
      <w:r>
        <w:rPr>
          <w:sz w:val="21"/>
        </w:rPr>
        <w:t xml:space="preserve"> </w:t>
      </w:r>
      <w:proofErr w:type="spellStart"/>
      <w:r>
        <w:rPr>
          <w:sz w:val="21"/>
        </w:rPr>
        <w:t>du</w:t>
      </w:r>
      <w:proofErr w:type="spellEnd"/>
      <w:r>
        <w:rPr>
          <w:sz w:val="21"/>
        </w:rPr>
        <w:t xml:space="preserve"> </w:t>
      </w:r>
      <w:proofErr w:type="spellStart"/>
      <w:r>
        <w:rPr>
          <w:sz w:val="21"/>
        </w:rPr>
        <w:t>voyage</w:t>
      </w:r>
      <w:proofErr w:type="spellEnd"/>
      <w:r>
        <w:rPr>
          <w:sz w:val="21"/>
        </w:rPr>
        <w:t xml:space="preserve">, </w:t>
      </w:r>
      <w:proofErr w:type="spellStart"/>
      <w:r>
        <w:rPr>
          <w:sz w:val="21"/>
        </w:rPr>
        <w:t>Resandefolket</w:t>
      </w:r>
      <w:proofErr w:type="spellEnd"/>
      <w:r>
        <w:rPr>
          <w:sz w:val="21"/>
        </w:rPr>
        <w:t xml:space="preserve">/De </w:t>
      </w:r>
      <w:proofErr w:type="spellStart"/>
      <w:r>
        <w:rPr>
          <w:sz w:val="21"/>
        </w:rPr>
        <w:t>resande</w:t>
      </w:r>
      <w:proofErr w:type="spellEnd"/>
      <w:r>
        <w:rPr>
          <w:sz w:val="21"/>
        </w:rPr>
        <w:t xml:space="preserve">, </w:t>
      </w:r>
      <w:proofErr w:type="spellStart"/>
      <w:r>
        <w:rPr>
          <w:sz w:val="21"/>
        </w:rPr>
        <w:t>Sintové</w:t>
      </w:r>
      <w:proofErr w:type="spellEnd"/>
      <w:r>
        <w:rPr>
          <w:sz w:val="21"/>
        </w:rPr>
        <w:t xml:space="preserve">, </w:t>
      </w:r>
      <w:proofErr w:type="spellStart"/>
      <w:r>
        <w:rPr>
          <w:sz w:val="21"/>
        </w:rPr>
        <w:t>Camminanti</w:t>
      </w:r>
      <w:proofErr w:type="spellEnd"/>
      <w:r>
        <w:rPr>
          <w:sz w:val="21"/>
        </w:rPr>
        <w:t xml:space="preserve">, </w:t>
      </w:r>
      <w:proofErr w:type="spellStart"/>
      <w:r>
        <w:rPr>
          <w:sz w:val="21"/>
        </w:rPr>
        <w:t>Manuš</w:t>
      </w:r>
      <w:proofErr w:type="spellEnd"/>
      <w:r>
        <w:rPr>
          <w:sz w:val="21"/>
        </w:rPr>
        <w:t xml:space="preserve">, Kalé, </w:t>
      </w:r>
      <w:proofErr w:type="spellStart"/>
      <w:r>
        <w:rPr>
          <w:sz w:val="21"/>
        </w:rPr>
        <w:t>Romanišelové</w:t>
      </w:r>
      <w:proofErr w:type="spellEnd"/>
      <w:r>
        <w:rPr>
          <w:sz w:val="21"/>
        </w:rPr>
        <w:t xml:space="preserve">, </w:t>
      </w:r>
      <w:proofErr w:type="spellStart"/>
      <w:r>
        <w:rPr>
          <w:sz w:val="21"/>
        </w:rPr>
        <w:t>Beášové</w:t>
      </w:r>
      <w:proofErr w:type="spellEnd"/>
      <w:r>
        <w:rPr>
          <w:sz w:val="21"/>
        </w:rPr>
        <w:t>/</w:t>
      </w:r>
      <w:proofErr w:type="spellStart"/>
      <w:r>
        <w:rPr>
          <w:sz w:val="21"/>
        </w:rPr>
        <w:t>Rudari</w:t>
      </w:r>
      <w:proofErr w:type="spellEnd"/>
      <w:r>
        <w:rPr>
          <w:sz w:val="21"/>
        </w:rPr>
        <w:t xml:space="preserve">, </w:t>
      </w:r>
      <w:proofErr w:type="spellStart"/>
      <w:r>
        <w:rPr>
          <w:sz w:val="21"/>
        </w:rPr>
        <w:t>Aškalijové</w:t>
      </w:r>
      <w:proofErr w:type="spellEnd"/>
      <w:r>
        <w:rPr>
          <w:sz w:val="21"/>
        </w:rPr>
        <w:t xml:space="preserve">, Egypťané, </w:t>
      </w:r>
      <w:proofErr w:type="spellStart"/>
      <w:r>
        <w:rPr>
          <w:sz w:val="21"/>
        </w:rPr>
        <w:t>Jenišové</w:t>
      </w:r>
      <w:proofErr w:type="spellEnd"/>
      <w:r>
        <w:rPr>
          <w:sz w:val="21"/>
        </w:rPr>
        <w:t xml:space="preserve">, Domové, Lomové a </w:t>
      </w:r>
      <w:proofErr w:type="spellStart"/>
      <w:r>
        <w:rPr>
          <w:sz w:val="21"/>
        </w:rPr>
        <w:t>Abdalové</w:t>
      </w:r>
      <w:proofErr w:type="spellEnd"/>
      <w:r>
        <w:rPr>
          <w:sz w:val="21"/>
        </w:rPr>
        <w:t>, které se mohou navzájem lišit kulturou i stylem života. Toto je jen vysvětlující poznámka pod ča</w:t>
      </w:r>
      <w:r w:rsidR="00F14E65">
        <w:rPr>
          <w:sz w:val="21"/>
        </w:rPr>
        <w:t>r</w:t>
      </w:r>
      <w:r>
        <w:rPr>
          <w:sz w:val="21"/>
        </w:rPr>
        <w:t>ou, nikoliv definice Romů.</w:t>
      </w:r>
    </w:p>
    <w:p w14:paraId="55C9952E" w14:textId="272F1ECA" w:rsidR="00161C2B" w:rsidRDefault="00F14E65" w:rsidP="00647A2F">
      <w:pPr>
        <w:pStyle w:val="Zkladntext"/>
        <w:spacing w:before="61" w:line="268" w:lineRule="auto"/>
        <w:ind w:left="140"/>
        <w:jc w:val="both"/>
      </w:pPr>
      <w:r>
        <w:lastRenderedPageBreak/>
        <w:t xml:space="preserve">a </w:t>
      </w:r>
      <w:r w:rsidR="00056C1E">
        <w:t>spolupráci v Evropě a další mezinárodní orgány stále nebyly stereotypy a předsudky namířené proti Romům dostatečně zdiskreditovány a zbaveny legitimity, a proto i nadále přetrvávají a nesetkávají se s důraznou odezvou.</w:t>
      </w:r>
    </w:p>
    <w:p w14:paraId="316CD62F" w14:textId="77777777" w:rsidR="00161C2B" w:rsidRDefault="00161C2B" w:rsidP="00647A2F">
      <w:pPr>
        <w:pStyle w:val="Zkladntext"/>
        <w:spacing w:before="3"/>
        <w:jc w:val="both"/>
        <w:rPr>
          <w:sz w:val="27"/>
        </w:rPr>
      </w:pPr>
    </w:p>
    <w:p w14:paraId="3761A610" w14:textId="6A261DE4" w:rsidR="00161C2B" w:rsidRDefault="00056C1E" w:rsidP="00647A2F">
      <w:pPr>
        <w:pStyle w:val="Zkladntext"/>
        <w:spacing w:line="271" w:lineRule="auto"/>
        <w:ind w:left="140"/>
        <w:jc w:val="both"/>
      </w:pPr>
      <w:proofErr w:type="spellStart"/>
      <w:r>
        <w:t>Anticikanismus</w:t>
      </w:r>
      <w:proofErr w:type="spellEnd"/>
      <w:r>
        <w:t xml:space="preserve"> / diskriminace Romů je různorodým jevem, který je široce společensky i politicky přijímaný. Jde o zásadní překážku začlenění Romů do širší společnosti, která brání Romům v přístupu k rovným právům, příležitostem a úspěšném zapojení do soci</w:t>
      </w:r>
      <w:r w:rsidR="00F14E65">
        <w:t xml:space="preserve">álního i </w:t>
      </w:r>
      <w:r>
        <w:t>ekonomického života.</w:t>
      </w:r>
    </w:p>
    <w:p w14:paraId="382C7740" w14:textId="77777777" w:rsidR="00161C2B" w:rsidRDefault="00161C2B" w:rsidP="00647A2F">
      <w:pPr>
        <w:pStyle w:val="Zkladntext"/>
        <w:spacing w:before="9"/>
        <w:jc w:val="both"/>
        <w:rPr>
          <w:sz w:val="26"/>
        </w:rPr>
      </w:pPr>
    </w:p>
    <w:p w14:paraId="1CE79803" w14:textId="3DCA8027" w:rsidR="00161C2B" w:rsidRDefault="00056C1E" w:rsidP="00647A2F">
      <w:pPr>
        <w:pStyle w:val="Zkladntext"/>
        <w:spacing w:line="268" w:lineRule="auto"/>
        <w:ind w:left="140"/>
        <w:jc w:val="both"/>
      </w:pPr>
      <w:r>
        <w:t xml:space="preserve">Příkladů </w:t>
      </w:r>
      <w:proofErr w:type="spellStart"/>
      <w:r>
        <w:t>anticikanismu</w:t>
      </w:r>
      <w:proofErr w:type="spellEnd"/>
      <w:r>
        <w:t xml:space="preserve"> / diskriminace Romů </w:t>
      </w:r>
      <w:r w:rsidR="00F14E65">
        <w:t>lze</w:t>
      </w:r>
      <w:r>
        <w:t xml:space="preserve"> </w:t>
      </w:r>
      <w:r w:rsidR="00F14E65">
        <w:t>najít</w:t>
      </w:r>
      <w:r>
        <w:t xml:space="preserve"> celou řadu. Mezi současné projevy </w:t>
      </w:r>
      <w:proofErr w:type="spellStart"/>
      <w:r>
        <w:t>anticikanismu</w:t>
      </w:r>
      <w:proofErr w:type="spellEnd"/>
      <w:r>
        <w:t xml:space="preserve"> / diskriminace Romů může s ohledem na celkový kontext patřit mimo jiné:</w:t>
      </w:r>
    </w:p>
    <w:p w14:paraId="7BBF62AF" w14:textId="77777777" w:rsidR="00161C2B" w:rsidRDefault="00161C2B" w:rsidP="00647A2F">
      <w:pPr>
        <w:pStyle w:val="Zkladntext"/>
        <w:spacing w:before="5"/>
        <w:jc w:val="both"/>
        <w:rPr>
          <w:sz w:val="29"/>
        </w:rPr>
      </w:pPr>
    </w:p>
    <w:p w14:paraId="7839CB3B" w14:textId="77777777" w:rsidR="00161C2B" w:rsidRDefault="00056C1E" w:rsidP="00647A2F">
      <w:pPr>
        <w:pStyle w:val="Odstavecseseznamem"/>
        <w:numPr>
          <w:ilvl w:val="0"/>
          <w:numId w:val="3"/>
        </w:numPr>
        <w:tabs>
          <w:tab w:val="left" w:pos="860"/>
          <w:tab w:val="left" w:pos="861"/>
        </w:tabs>
        <w:spacing w:before="0"/>
        <w:jc w:val="both"/>
        <w:rPr>
          <w:sz w:val="24"/>
        </w:rPr>
      </w:pPr>
      <w:r>
        <w:rPr>
          <w:sz w:val="24"/>
        </w:rPr>
        <w:t>Zkreslování či popírání perzekuce Romů nebo genocidy Romů.</w:t>
      </w:r>
    </w:p>
    <w:p w14:paraId="5C3699C8" w14:textId="77777777" w:rsidR="00161C2B" w:rsidRDefault="00056C1E" w:rsidP="00647A2F">
      <w:pPr>
        <w:pStyle w:val="Odstavecseseznamem"/>
        <w:numPr>
          <w:ilvl w:val="0"/>
          <w:numId w:val="3"/>
        </w:numPr>
        <w:tabs>
          <w:tab w:val="left" w:pos="860"/>
          <w:tab w:val="left" w:pos="861"/>
        </w:tabs>
        <w:spacing w:before="47"/>
        <w:jc w:val="both"/>
        <w:rPr>
          <w:sz w:val="24"/>
        </w:rPr>
      </w:pPr>
      <w:r>
        <w:rPr>
          <w:sz w:val="24"/>
        </w:rPr>
        <w:t>Schvalování genocidy Romů.</w:t>
      </w:r>
    </w:p>
    <w:p w14:paraId="35B67788" w14:textId="5BB3CB0D" w:rsidR="00161C2B" w:rsidRDefault="00056C1E" w:rsidP="00647A2F">
      <w:pPr>
        <w:pStyle w:val="Odstavecseseznamem"/>
        <w:numPr>
          <w:ilvl w:val="0"/>
          <w:numId w:val="3"/>
        </w:numPr>
        <w:tabs>
          <w:tab w:val="left" w:pos="855"/>
          <w:tab w:val="left" w:pos="856"/>
        </w:tabs>
        <w:spacing w:before="35" w:line="266" w:lineRule="auto"/>
        <w:ind w:right="-66"/>
        <w:jc w:val="both"/>
        <w:rPr>
          <w:sz w:val="24"/>
        </w:rPr>
      </w:pPr>
      <w:r>
        <w:rPr>
          <w:sz w:val="24"/>
        </w:rPr>
        <w:t xml:space="preserve">Podněcování, omlouvání a páchání násilí na romských komunitách či jedincích romského původu či </w:t>
      </w:r>
      <w:r w:rsidR="00F14E65">
        <w:rPr>
          <w:sz w:val="24"/>
        </w:rPr>
        <w:t>ničení</w:t>
      </w:r>
      <w:r>
        <w:rPr>
          <w:sz w:val="24"/>
        </w:rPr>
        <w:t xml:space="preserve"> majetku Romů.</w:t>
      </w:r>
    </w:p>
    <w:p w14:paraId="34146922" w14:textId="57CFE580" w:rsidR="00161C2B" w:rsidRDefault="00056C1E" w:rsidP="00647A2F">
      <w:pPr>
        <w:pStyle w:val="Odstavecseseznamem"/>
        <w:numPr>
          <w:ilvl w:val="0"/>
          <w:numId w:val="3"/>
        </w:numPr>
        <w:tabs>
          <w:tab w:val="left" w:pos="855"/>
          <w:tab w:val="left" w:pos="856"/>
        </w:tabs>
        <w:spacing w:before="22" w:line="266" w:lineRule="auto"/>
        <w:ind w:right="274"/>
        <w:jc w:val="both"/>
        <w:rPr>
          <w:sz w:val="24"/>
        </w:rPr>
      </w:pPr>
      <w:r>
        <w:rPr>
          <w:sz w:val="24"/>
        </w:rPr>
        <w:t>Nucené nebo nedobrovolné sterilizace a fyzické nebo psychické násilí na Romech.</w:t>
      </w:r>
    </w:p>
    <w:p w14:paraId="0E121732" w14:textId="77777777" w:rsidR="00161C2B" w:rsidRDefault="00056C1E" w:rsidP="00647A2F">
      <w:pPr>
        <w:pStyle w:val="Odstavecseseznamem"/>
        <w:numPr>
          <w:ilvl w:val="0"/>
          <w:numId w:val="3"/>
        </w:numPr>
        <w:tabs>
          <w:tab w:val="left" w:pos="860"/>
          <w:tab w:val="left" w:pos="861"/>
        </w:tabs>
        <w:spacing w:before="30"/>
        <w:jc w:val="both"/>
        <w:rPr>
          <w:sz w:val="24"/>
        </w:rPr>
      </w:pPr>
      <w:r>
        <w:rPr>
          <w:sz w:val="24"/>
        </w:rPr>
        <w:t>Udržování a podporování předsudečných stereotypů o Romech.</w:t>
      </w:r>
    </w:p>
    <w:p w14:paraId="67108478" w14:textId="77777777" w:rsidR="00161C2B" w:rsidRDefault="00056C1E" w:rsidP="00647A2F">
      <w:pPr>
        <w:pStyle w:val="Odstavecseseznamem"/>
        <w:numPr>
          <w:ilvl w:val="0"/>
          <w:numId w:val="3"/>
        </w:numPr>
        <w:tabs>
          <w:tab w:val="left" w:pos="860"/>
          <w:tab w:val="left" w:pos="861"/>
        </w:tabs>
        <w:spacing w:line="256" w:lineRule="auto"/>
        <w:ind w:right="-66"/>
        <w:jc w:val="both"/>
        <w:rPr>
          <w:sz w:val="24"/>
        </w:rPr>
      </w:pPr>
      <w:r>
        <w:rPr>
          <w:sz w:val="24"/>
        </w:rPr>
        <w:t>Obviňování Romů ze způsobování skutečných nebo smyšlených společenských, politických, kulturních, ekonomických nebo zdravotnických problémů a s tím spojené projevy nenávisti.</w:t>
      </w:r>
    </w:p>
    <w:p w14:paraId="7FB6EF58" w14:textId="03DEB5D0" w:rsidR="00161C2B" w:rsidRDefault="00056C1E" w:rsidP="00647A2F">
      <w:pPr>
        <w:pStyle w:val="Odstavecseseznamem"/>
        <w:numPr>
          <w:ilvl w:val="0"/>
          <w:numId w:val="3"/>
        </w:numPr>
        <w:tabs>
          <w:tab w:val="left" w:pos="860"/>
          <w:tab w:val="left" w:pos="861"/>
        </w:tabs>
        <w:jc w:val="both"/>
        <w:rPr>
          <w:sz w:val="24"/>
        </w:rPr>
      </w:pPr>
      <w:r>
        <w:rPr>
          <w:sz w:val="24"/>
        </w:rPr>
        <w:t xml:space="preserve">Šíření stereotypu, že Romové mají tendenci ke zločinnému chování. </w:t>
      </w:r>
    </w:p>
    <w:p w14:paraId="2808F78F" w14:textId="77777777" w:rsidR="00161C2B" w:rsidRDefault="00056C1E" w:rsidP="00647A2F">
      <w:pPr>
        <w:pStyle w:val="Odstavecseseznamem"/>
        <w:numPr>
          <w:ilvl w:val="0"/>
          <w:numId w:val="3"/>
        </w:numPr>
        <w:tabs>
          <w:tab w:val="left" w:pos="860"/>
          <w:tab w:val="left" w:pos="861"/>
        </w:tabs>
        <w:jc w:val="both"/>
        <w:rPr>
          <w:sz w:val="24"/>
        </w:rPr>
      </w:pPr>
      <w:r>
        <w:rPr>
          <w:sz w:val="24"/>
        </w:rPr>
        <w:t>Využívání pojmu „Cikán“ jako nadávky.</w:t>
      </w:r>
    </w:p>
    <w:p w14:paraId="7B0DF4B3" w14:textId="2E612067" w:rsidR="00161C2B" w:rsidRDefault="00056C1E" w:rsidP="00647A2F">
      <w:pPr>
        <w:pStyle w:val="Odstavecseseznamem"/>
        <w:numPr>
          <w:ilvl w:val="0"/>
          <w:numId w:val="3"/>
        </w:numPr>
        <w:tabs>
          <w:tab w:val="left" w:pos="860"/>
          <w:tab w:val="left" w:pos="861"/>
          <w:tab w:val="left" w:pos="9214"/>
        </w:tabs>
        <w:spacing w:before="47" w:line="261" w:lineRule="auto"/>
        <w:ind w:right="-66"/>
        <w:jc w:val="both"/>
        <w:rPr>
          <w:sz w:val="24"/>
        </w:rPr>
      </w:pPr>
      <w:r>
        <w:rPr>
          <w:sz w:val="24"/>
        </w:rPr>
        <w:t>Schvalování nebo podporování mechanismů vylučujících Romy na základě rasově diskriminačních předpokladů, jako je například vylučování z běžných škol nebo institucionální postupy a politická opatření, která vedou k segregaci romských komunit.</w:t>
      </w:r>
    </w:p>
    <w:p w14:paraId="6171695E" w14:textId="15535463" w:rsidR="00161C2B" w:rsidRDefault="00056C1E" w:rsidP="00647A2F">
      <w:pPr>
        <w:pStyle w:val="Odstavecseseznamem"/>
        <w:numPr>
          <w:ilvl w:val="0"/>
          <w:numId w:val="3"/>
        </w:numPr>
        <w:tabs>
          <w:tab w:val="left" w:pos="860"/>
          <w:tab w:val="left" w:pos="861"/>
        </w:tabs>
        <w:spacing w:before="34" w:line="254" w:lineRule="auto"/>
        <w:ind w:right="-66"/>
        <w:jc w:val="both"/>
        <w:rPr>
          <w:sz w:val="24"/>
        </w:rPr>
      </w:pPr>
      <w:r>
        <w:rPr>
          <w:sz w:val="24"/>
        </w:rPr>
        <w:t>Provádění politických opatření pro arbitrární nebo diskriminační vysídlování Romů a romských komunit bez právního základu nebo vytváření podmínek, které toto umožňují.</w:t>
      </w:r>
    </w:p>
    <w:p w14:paraId="56E41C2E" w14:textId="77777777" w:rsidR="00161C2B" w:rsidRDefault="00056C1E" w:rsidP="00647A2F">
      <w:pPr>
        <w:pStyle w:val="Odstavecseseznamem"/>
        <w:numPr>
          <w:ilvl w:val="0"/>
          <w:numId w:val="3"/>
        </w:numPr>
        <w:tabs>
          <w:tab w:val="left" w:pos="860"/>
          <w:tab w:val="left" w:pos="861"/>
        </w:tabs>
        <w:spacing w:line="256" w:lineRule="auto"/>
        <w:ind w:right="-66"/>
        <w:jc w:val="both"/>
        <w:rPr>
          <w:sz w:val="24"/>
        </w:rPr>
      </w:pPr>
      <w:r>
        <w:rPr>
          <w:sz w:val="24"/>
        </w:rPr>
        <w:t>Připisování kolektivní odpovědnosti za skutečné nebo smyšlené jednání jednotlivců z romských komunit všem Romům.</w:t>
      </w:r>
    </w:p>
    <w:p w14:paraId="0819F32C" w14:textId="77777777" w:rsidR="00161C2B" w:rsidRDefault="00056C1E" w:rsidP="00647A2F">
      <w:pPr>
        <w:pStyle w:val="Odstavecseseznamem"/>
        <w:numPr>
          <w:ilvl w:val="0"/>
          <w:numId w:val="3"/>
        </w:numPr>
        <w:tabs>
          <w:tab w:val="left" w:pos="860"/>
          <w:tab w:val="left" w:pos="861"/>
        </w:tabs>
        <w:spacing w:line="254" w:lineRule="auto"/>
        <w:ind w:right="-66"/>
        <w:jc w:val="both"/>
        <w:rPr>
          <w:sz w:val="24"/>
        </w:rPr>
      </w:pPr>
      <w:r>
        <w:rPr>
          <w:sz w:val="24"/>
        </w:rPr>
        <w:t>Šíření nenávisti proti romským komunitám v jakékoliv formě, tedy například v médiích, a to včetně internetu a sociálních sítí.</w:t>
      </w:r>
    </w:p>
    <w:sectPr w:rsidR="00161C2B">
      <w:pgSz w:w="11910" w:h="16840"/>
      <w:pgMar w:top="1360" w:right="13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14246"/>
    <w:multiLevelType w:val="hybridMultilevel"/>
    <w:tmpl w:val="8F3C83AA"/>
    <w:lvl w:ilvl="0" w:tplc="92286ACA">
      <w:numFmt w:val="bullet"/>
      <w:lvlText w:val=""/>
      <w:lvlJc w:val="left"/>
      <w:pPr>
        <w:ind w:left="856" w:hanging="360"/>
      </w:pPr>
      <w:rPr>
        <w:rFonts w:ascii="Symbol" w:eastAsia="Symbol" w:hAnsi="Symbol" w:cs="Symbol" w:hint="default"/>
        <w:sz w:val="24"/>
        <w:szCs w:val="24"/>
        <w:lang w:val="en-US" w:eastAsia="en-US" w:bidi="en-US"/>
      </w:rPr>
    </w:lvl>
    <w:lvl w:ilvl="1" w:tplc="353A6DDA">
      <w:numFmt w:val="bullet"/>
      <w:lvlText w:val="•"/>
      <w:lvlJc w:val="left"/>
      <w:pPr>
        <w:ind w:left="1702" w:hanging="360"/>
      </w:pPr>
      <w:rPr>
        <w:rFonts w:hint="default"/>
        <w:lang w:val="en-US" w:eastAsia="en-US" w:bidi="en-US"/>
      </w:rPr>
    </w:lvl>
    <w:lvl w:ilvl="2" w:tplc="CC487B7C">
      <w:numFmt w:val="bullet"/>
      <w:lvlText w:val="•"/>
      <w:lvlJc w:val="left"/>
      <w:pPr>
        <w:ind w:left="2545" w:hanging="360"/>
      </w:pPr>
      <w:rPr>
        <w:rFonts w:hint="default"/>
        <w:lang w:val="en-US" w:eastAsia="en-US" w:bidi="en-US"/>
      </w:rPr>
    </w:lvl>
    <w:lvl w:ilvl="3" w:tplc="AA28303E">
      <w:numFmt w:val="bullet"/>
      <w:lvlText w:val="•"/>
      <w:lvlJc w:val="left"/>
      <w:pPr>
        <w:ind w:left="3387" w:hanging="360"/>
      </w:pPr>
      <w:rPr>
        <w:rFonts w:hint="default"/>
        <w:lang w:val="en-US" w:eastAsia="en-US" w:bidi="en-US"/>
      </w:rPr>
    </w:lvl>
    <w:lvl w:ilvl="4" w:tplc="1CCABB08">
      <w:numFmt w:val="bullet"/>
      <w:lvlText w:val="•"/>
      <w:lvlJc w:val="left"/>
      <w:pPr>
        <w:ind w:left="4230" w:hanging="360"/>
      </w:pPr>
      <w:rPr>
        <w:rFonts w:hint="default"/>
        <w:lang w:val="en-US" w:eastAsia="en-US" w:bidi="en-US"/>
      </w:rPr>
    </w:lvl>
    <w:lvl w:ilvl="5" w:tplc="C1383862">
      <w:numFmt w:val="bullet"/>
      <w:lvlText w:val="•"/>
      <w:lvlJc w:val="left"/>
      <w:pPr>
        <w:ind w:left="5072" w:hanging="360"/>
      </w:pPr>
      <w:rPr>
        <w:rFonts w:hint="default"/>
        <w:lang w:val="en-US" w:eastAsia="en-US" w:bidi="en-US"/>
      </w:rPr>
    </w:lvl>
    <w:lvl w:ilvl="6" w:tplc="75F6EC58">
      <w:numFmt w:val="bullet"/>
      <w:lvlText w:val="•"/>
      <w:lvlJc w:val="left"/>
      <w:pPr>
        <w:ind w:left="5915" w:hanging="360"/>
      </w:pPr>
      <w:rPr>
        <w:rFonts w:hint="default"/>
        <w:lang w:val="en-US" w:eastAsia="en-US" w:bidi="en-US"/>
      </w:rPr>
    </w:lvl>
    <w:lvl w:ilvl="7" w:tplc="94A893AA">
      <w:numFmt w:val="bullet"/>
      <w:lvlText w:val="•"/>
      <w:lvlJc w:val="left"/>
      <w:pPr>
        <w:ind w:left="6757" w:hanging="360"/>
      </w:pPr>
      <w:rPr>
        <w:rFonts w:hint="default"/>
        <w:lang w:val="en-US" w:eastAsia="en-US" w:bidi="en-US"/>
      </w:rPr>
    </w:lvl>
    <w:lvl w:ilvl="8" w:tplc="89CC004E">
      <w:numFmt w:val="bullet"/>
      <w:lvlText w:val="•"/>
      <w:lvlJc w:val="left"/>
      <w:pPr>
        <w:ind w:left="7600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121F61B0"/>
    <w:multiLevelType w:val="hybridMultilevel"/>
    <w:tmpl w:val="E9BC59CA"/>
    <w:lvl w:ilvl="0" w:tplc="F90A9C3A">
      <w:numFmt w:val="bullet"/>
      <w:lvlText w:val="*"/>
      <w:lvlJc w:val="left"/>
      <w:pPr>
        <w:ind w:left="431" w:hanging="145"/>
      </w:pPr>
      <w:rPr>
        <w:rFonts w:ascii="Times New Roman" w:eastAsia="Times New Roman" w:hAnsi="Times New Roman" w:cs="Times New Roman" w:hint="default"/>
        <w:sz w:val="21"/>
        <w:szCs w:val="21"/>
        <w:lang w:val="en-US" w:eastAsia="en-US" w:bidi="en-US"/>
      </w:rPr>
    </w:lvl>
    <w:lvl w:ilvl="1" w:tplc="FFF4CA32">
      <w:numFmt w:val="bullet"/>
      <w:lvlText w:val="•"/>
      <w:lvlJc w:val="left"/>
      <w:pPr>
        <w:ind w:left="1007" w:hanging="360"/>
      </w:pPr>
      <w:rPr>
        <w:rFonts w:ascii="Calibri" w:eastAsia="Calibri" w:hAnsi="Calibri" w:cs="Calibri" w:hint="default"/>
        <w:sz w:val="24"/>
        <w:szCs w:val="24"/>
        <w:lang w:val="en-US" w:eastAsia="en-US" w:bidi="en-US"/>
      </w:rPr>
    </w:lvl>
    <w:lvl w:ilvl="2" w:tplc="711EECB0">
      <w:numFmt w:val="bullet"/>
      <w:lvlText w:val="•"/>
      <w:lvlJc w:val="left"/>
      <w:pPr>
        <w:ind w:left="1942" w:hanging="360"/>
      </w:pPr>
      <w:rPr>
        <w:rFonts w:hint="default"/>
        <w:lang w:val="en-US" w:eastAsia="en-US" w:bidi="en-US"/>
      </w:rPr>
    </w:lvl>
    <w:lvl w:ilvl="3" w:tplc="A2D0B50C">
      <w:numFmt w:val="bullet"/>
      <w:lvlText w:val="•"/>
      <w:lvlJc w:val="left"/>
      <w:pPr>
        <w:ind w:left="2878" w:hanging="360"/>
      </w:pPr>
      <w:rPr>
        <w:rFonts w:hint="default"/>
        <w:lang w:val="en-US" w:eastAsia="en-US" w:bidi="en-US"/>
      </w:rPr>
    </w:lvl>
    <w:lvl w:ilvl="4" w:tplc="3BAC87EC">
      <w:numFmt w:val="bullet"/>
      <w:lvlText w:val="•"/>
      <w:lvlJc w:val="left"/>
      <w:pPr>
        <w:ind w:left="3814" w:hanging="360"/>
      </w:pPr>
      <w:rPr>
        <w:rFonts w:hint="default"/>
        <w:lang w:val="en-US" w:eastAsia="en-US" w:bidi="en-US"/>
      </w:rPr>
    </w:lvl>
    <w:lvl w:ilvl="5" w:tplc="E8828126">
      <w:numFmt w:val="bullet"/>
      <w:lvlText w:val="•"/>
      <w:lvlJc w:val="left"/>
      <w:pPr>
        <w:ind w:left="4750" w:hanging="360"/>
      </w:pPr>
      <w:rPr>
        <w:rFonts w:hint="default"/>
        <w:lang w:val="en-US" w:eastAsia="en-US" w:bidi="en-US"/>
      </w:rPr>
    </w:lvl>
    <w:lvl w:ilvl="6" w:tplc="1534ABD4">
      <w:numFmt w:val="bullet"/>
      <w:lvlText w:val="•"/>
      <w:lvlJc w:val="left"/>
      <w:pPr>
        <w:ind w:left="5686" w:hanging="360"/>
      </w:pPr>
      <w:rPr>
        <w:rFonts w:hint="default"/>
        <w:lang w:val="en-US" w:eastAsia="en-US" w:bidi="en-US"/>
      </w:rPr>
    </w:lvl>
    <w:lvl w:ilvl="7" w:tplc="5C385110">
      <w:numFmt w:val="bullet"/>
      <w:lvlText w:val="•"/>
      <w:lvlJc w:val="left"/>
      <w:pPr>
        <w:ind w:left="6622" w:hanging="360"/>
      </w:pPr>
      <w:rPr>
        <w:rFonts w:hint="default"/>
        <w:lang w:val="en-US" w:eastAsia="en-US" w:bidi="en-US"/>
      </w:rPr>
    </w:lvl>
    <w:lvl w:ilvl="8" w:tplc="6BB6AA8A">
      <w:numFmt w:val="bullet"/>
      <w:lvlText w:val="•"/>
      <w:lvlJc w:val="left"/>
      <w:pPr>
        <w:ind w:left="7558" w:hanging="360"/>
      </w:pPr>
      <w:rPr>
        <w:rFonts w:hint="default"/>
        <w:lang w:val="en-US" w:eastAsia="en-US" w:bidi="en-US"/>
      </w:rPr>
    </w:lvl>
  </w:abstractNum>
  <w:abstractNum w:abstractNumId="2" w15:restartNumberingAfterBreak="0">
    <w:nsid w:val="69E015EB"/>
    <w:multiLevelType w:val="hybridMultilevel"/>
    <w:tmpl w:val="2AFA26C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1C2B"/>
    <w:rsid w:val="00056C1E"/>
    <w:rsid w:val="00161C2B"/>
    <w:rsid w:val="002E7CE2"/>
    <w:rsid w:val="00647A2F"/>
    <w:rsid w:val="0074080C"/>
    <w:rsid w:val="00F14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45FB3C8"/>
  <w15:docId w15:val="{424C22AB-5CC2-418D-B794-D50EE70CF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Times New Roman" w:eastAsia="Times New Roman" w:hAnsi="Times New Roman" w:cs="Times New Roman"/>
      <w:lang w:bidi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uiPriority w:val="1"/>
    <w:qFormat/>
    <w:rPr>
      <w:sz w:val="24"/>
      <w:szCs w:val="24"/>
    </w:rPr>
  </w:style>
  <w:style w:type="paragraph" w:styleId="Odstavecseseznamem">
    <w:name w:val="List Paragraph"/>
    <w:basedOn w:val="Normln"/>
    <w:uiPriority w:val="1"/>
    <w:qFormat/>
    <w:pPr>
      <w:spacing w:before="42"/>
      <w:ind w:left="861" w:hanging="360"/>
    </w:pPr>
  </w:style>
  <w:style w:type="paragraph" w:customStyle="1" w:styleId="TableParagraph">
    <w:name w:val="Table Paragraph"/>
    <w:basedOn w:val="Normln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635</Words>
  <Characters>3748</Characters>
  <Application>Microsoft Office Word</Application>
  <DocSecurity>0</DocSecurity>
  <Lines>31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Rosvita Krajinovic</dc:creator>
  <cp:lastModifiedBy>Anna Míšková</cp:lastModifiedBy>
  <cp:revision>5</cp:revision>
  <dcterms:created xsi:type="dcterms:W3CDTF">2020-10-08T15:11:00Z</dcterms:created>
  <dcterms:modified xsi:type="dcterms:W3CDTF">2024-02-20T13:09:00Z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2020-10-08T00:00:00Z</vt:filetime>
  </property>
</Properties>
</file>